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0B" w:rsidRDefault="003B310B"/>
    <w:p w:rsidR="00015A42" w:rsidRDefault="00015A42"/>
    <w:p w:rsidR="00015A42" w:rsidRDefault="00015A42"/>
    <w:p w:rsidR="00015A42" w:rsidRDefault="00015A42"/>
    <w:p w:rsidR="00015A42" w:rsidRDefault="00015A42"/>
    <w:p w:rsidR="00015A42" w:rsidRDefault="00015A42" w:rsidP="00E626C3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          от 13.02.2020г.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</w:t>
      </w:r>
      <w:r>
        <w:rPr>
          <w:rFonts w:ascii="Times New Roman" w:hAnsi="Times New Roman"/>
          <w:bCs/>
          <w:sz w:val="28"/>
        </w:rPr>
        <w:tab/>
        <w:t xml:space="preserve">    2</w:t>
      </w:r>
    </w:p>
    <w:p w:rsidR="00015A42" w:rsidRPr="00015A42" w:rsidRDefault="00015A42" w:rsidP="00015A42">
      <w:pPr>
        <w:spacing w:after="120" w:line="360" w:lineRule="auto"/>
        <w:rPr>
          <w:rFonts w:ascii="Times New Roman" w:hAnsi="Times New Roman"/>
          <w:bCs/>
          <w:sz w:val="2"/>
          <w:szCs w:val="2"/>
        </w:rPr>
      </w:pPr>
    </w:p>
    <w:p w:rsidR="00015A42" w:rsidRDefault="00E626C3" w:rsidP="00E626C3">
      <w:pPr>
        <w:spacing w:after="120"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ДВАДЦАТЬ ВОСЬМАЯ СЕССИЯ</w:t>
      </w:r>
    </w:p>
    <w:p w:rsidR="00015A42" w:rsidRDefault="00015A42" w:rsidP="00015A42">
      <w:pPr>
        <w:pStyle w:val="5"/>
        <w:spacing w:before="0" w:after="0"/>
        <w:ind w:left="851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 внесении изменений в решение №4 </w:t>
      </w:r>
    </w:p>
    <w:p w:rsidR="00015A42" w:rsidRDefault="00015A42" w:rsidP="00015A42">
      <w:pPr>
        <w:pStyle w:val="5"/>
        <w:spacing w:before="0" w:after="0"/>
        <w:ind w:left="851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  <w:lang w:val="en-US"/>
        </w:rPr>
        <w:t>XIII</w:t>
      </w:r>
      <w:r>
        <w:rPr>
          <w:rFonts w:ascii="Times New Roman" w:hAnsi="Times New Roman"/>
          <w:i w:val="0"/>
          <w:sz w:val="28"/>
          <w:szCs w:val="28"/>
        </w:rPr>
        <w:t xml:space="preserve"> сессии Бугульминского городского Совета</w:t>
      </w:r>
    </w:p>
    <w:p w:rsidR="00015A42" w:rsidRDefault="00015A42" w:rsidP="00015A42">
      <w:pPr>
        <w:pStyle w:val="5"/>
        <w:spacing w:before="0" w:after="0"/>
        <w:ind w:left="851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16 июня 2017 года </w:t>
      </w:r>
    </w:p>
    <w:p w:rsidR="00015A42" w:rsidRDefault="00015A42" w:rsidP="00015A42">
      <w:pPr>
        <w:pStyle w:val="5"/>
        <w:spacing w:before="0" w:after="0"/>
        <w:ind w:left="851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«</w:t>
      </w:r>
      <w:r>
        <w:rPr>
          <w:rFonts w:ascii="Times New Roman" w:hAnsi="Times New Roman"/>
          <w:bCs w:val="0"/>
          <w:i w:val="0"/>
          <w:sz w:val="28"/>
          <w:szCs w:val="28"/>
        </w:rPr>
        <w:t xml:space="preserve">О Положении </w:t>
      </w:r>
      <w:r>
        <w:rPr>
          <w:rFonts w:ascii="Times New Roman" w:hAnsi="Times New Roman"/>
          <w:i w:val="0"/>
          <w:sz w:val="28"/>
          <w:szCs w:val="28"/>
        </w:rPr>
        <w:t xml:space="preserve">о муниципальной службе                                     </w:t>
      </w:r>
    </w:p>
    <w:p w:rsidR="00015A42" w:rsidRDefault="00015A42" w:rsidP="00015A42">
      <w:pPr>
        <w:pStyle w:val="5"/>
        <w:spacing w:before="0" w:after="0"/>
        <w:ind w:left="851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в муниципальном образовании город Бугульма </w:t>
      </w:r>
    </w:p>
    <w:p w:rsidR="00015A42" w:rsidRDefault="00015A42" w:rsidP="00015A42">
      <w:pPr>
        <w:pStyle w:val="5"/>
        <w:spacing w:before="0" w:after="0"/>
        <w:ind w:left="851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Бугульминского муниципального района </w:t>
      </w:r>
    </w:p>
    <w:p w:rsidR="00015A42" w:rsidRDefault="00015A42" w:rsidP="00015A42">
      <w:pPr>
        <w:pStyle w:val="5"/>
        <w:spacing w:before="0" w:after="0"/>
        <w:ind w:left="851"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Республики Татарстан»</w:t>
      </w:r>
    </w:p>
    <w:p w:rsidR="00015A42" w:rsidRPr="00015A42" w:rsidRDefault="00015A42" w:rsidP="00015A42">
      <w:pPr>
        <w:rPr>
          <w:sz w:val="2"/>
          <w:szCs w:val="2"/>
          <w:lang w:eastAsia="ru-RU"/>
        </w:rPr>
      </w:pPr>
    </w:p>
    <w:p w:rsidR="00015A42" w:rsidRPr="00015A42" w:rsidRDefault="00015A42" w:rsidP="00015A42">
      <w:pPr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16.12.2019 №439-ФЗ                            «О внесении изменений в Трудовой кодекс Российской Федерации                                                 в части формирования сведений о трудовой деятельности в электронном виде», </w:t>
      </w:r>
      <w:r>
        <w:rPr>
          <w:rFonts w:ascii="Times New Roman" w:hAnsi="Times New Roman"/>
          <w:iCs/>
          <w:sz w:val="28"/>
          <w:szCs w:val="28"/>
        </w:rPr>
        <w:t xml:space="preserve">Федеральным законом от 01.04.2019 №48-ФЗ «О внесении изменений                                          в Федеральный закон «Об индивидуальном (персонифицированном) учёте                     в системе обязательного пенсионного страхования» и отдельные законодательные акты Российской Федерации», 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  <w:lang w:val="tt-RU"/>
        </w:rPr>
        <w:t>едеральным законом</w:t>
      </w:r>
      <w:r w:rsidR="00E626C3">
        <w:rPr>
          <w:rFonts w:ascii="Times New Roman" w:hAnsi="Times New Roman"/>
          <w:sz w:val="28"/>
          <w:szCs w:val="28"/>
          <w:lang w:val="tt-RU"/>
        </w:rPr>
        <w:t xml:space="preserve">              от 16.12.2019  №432-ФЗ </w:t>
      </w:r>
      <w:r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tt-RU"/>
        </w:rPr>
        <w:t xml:space="preserve">, </w:t>
      </w:r>
      <w:r w:rsidR="00E626C3">
        <w:rPr>
          <w:rFonts w:ascii="Times New Roman" w:hAnsi="Times New Roman"/>
          <w:sz w:val="28"/>
          <w:szCs w:val="28"/>
          <w:lang w:val="tt-RU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 з</w:t>
      </w:r>
      <w:r>
        <w:rPr>
          <w:rFonts w:ascii="Times New Roman" w:hAnsi="Times New Roman"/>
          <w:sz w:val="28"/>
          <w:szCs w:val="28"/>
          <w:lang w:val="tt-RU"/>
        </w:rPr>
        <w:t xml:space="preserve">аконом от 02.03.2007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tt-RU"/>
        </w:rPr>
        <w:t xml:space="preserve">25-ФЗ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tt-RU"/>
        </w:rPr>
        <w:t>О муниципальной службе</w:t>
      </w:r>
      <w:r w:rsidR="00E626C3">
        <w:rPr>
          <w:rFonts w:ascii="Times New Roman" w:hAnsi="Times New Roman"/>
          <w:sz w:val="28"/>
          <w:szCs w:val="28"/>
          <w:lang w:val="tt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>Кодексом Республики Татарстан                                               о муниципальной службе от 25.06.2013 №50-ЗРТ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 руководствуясь Уставом </w:t>
      </w:r>
      <w:r>
        <w:rPr>
          <w:rFonts w:ascii="Times New Roman" w:hAnsi="Times New Roman"/>
          <w:sz w:val="28"/>
          <w:szCs w:val="28"/>
        </w:rPr>
        <w:t>муниципального образования город Бугульма                                                               Бугульминского муниципального района Республики Татарстан</w:t>
      </w:r>
    </w:p>
    <w:p w:rsidR="00015A42" w:rsidRPr="00015A42" w:rsidRDefault="00015A42" w:rsidP="00E626C3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Бугульминский городской Совет</w:t>
      </w:r>
    </w:p>
    <w:p w:rsidR="00015A42" w:rsidRPr="00015A42" w:rsidRDefault="00015A42" w:rsidP="00E626C3">
      <w:pPr>
        <w:ind w:left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15A42" w:rsidRDefault="00015A42" w:rsidP="00015A42">
      <w:pPr>
        <w:autoSpaceDN w:val="0"/>
        <w:spacing w:after="0" w:line="24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следующие изменения в Положение «О муниципальной службе                     в муниципальном образовании город Бугульма                                                           Бугульминского муниципального района Республики Татарстан»:</w:t>
      </w:r>
    </w:p>
    <w:p w:rsidR="00E626C3" w:rsidRDefault="00E626C3" w:rsidP="00015A42">
      <w:pPr>
        <w:autoSpaceDN w:val="0"/>
        <w:spacing w:after="0" w:line="24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</w:p>
    <w:p w:rsidR="00E626C3" w:rsidRDefault="00E626C3" w:rsidP="00015A42">
      <w:pPr>
        <w:autoSpaceDN w:val="0"/>
        <w:spacing w:after="0" w:line="24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</w:p>
    <w:p w:rsidR="00E626C3" w:rsidRDefault="00E626C3" w:rsidP="00015A42">
      <w:pPr>
        <w:autoSpaceDN w:val="0"/>
        <w:spacing w:after="0" w:line="24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</w:p>
    <w:p w:rsidR="00015A42" w:rsidRDefault="00015A42" w:rsidP="00E626C3">
      <w:pPr>
        <w:tabs>
          <w:tab w:val="num" w:pos="284"/>
        </w:tabs>
        <w:spacing w:after="0" w:line="240" w:lineRule="auto"/>
        <w:ind w:left="851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lastRenderedPageBreak/>
        <w:tab/>
        <w:t xml:space="preserve">- </w:t>
      </w:r>
      <w:r>
        <w:rPr>
          <w:rFonts w:ascii="Times New Roman" w:eastAsia="Calibri" w:hAnsi="Times New Roman"/>
          <w:i/>
          <w:sz w:val="28"/>
          <w:szCs w:val="28"/>
        </w:rPr>
        <w:tab/>
        <w:t>часть 22 статьи 8 изложить в следующей редакции:</w:t>
      </w:r>
    </w:p>
    <w:p w:rsidR="00015A42" w:rsidRDefault="00015A42" w:rsidP="00E626C3">
      <w:pPr>
        <w:tabs>
          <w:tab w:val="num" w:pos="284"/>
        </w:tabs>
        <w:spacing w:after="12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«22. Сведения о присвоении муниципальному служащему                               классного чина вносятся в личное дело и трудовую книжку и (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или)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                                       в сведения о трудовой деятельности муниципального служащего.»;</w:t>
      </w: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 xml:space="preserve">- </w:t>
      </w:r>
      <w:r>
        <w:rPr>
          <w:rFonts w:ascii="Times New Roman" w:hAnsi="Times New Roman"/>
          <w:i/>
          <w:sz w:val="28"/>
          <w:szCs w:val="28"/>
        </w:rPr>
        <w:tab/>
        <w:t>пункт 2 части 1 статьи 14 изложить в следующей редакции:</w:t>
      </w: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«2) </w:t>
      </w:r>
      <w:r>
        <w:rPr>
          <w:rFonts w:ascii="Times New Roman" w:eastAsia="Calibri" w:hAnsi="Times New Roman"/>
          <w:sz w:val="28"/>
          <w:szCs w:val="2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/>
          <w:sz w:val="28"/>
          <w:szCs w:val="28"/>
        </w:rPr>
        <w:t>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                                 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б) участие на безвозмездной основе в управлении некоммерческой организацией (кроме участия в управлении политической партией,                        органом профессионального союза, в том числе выборным органом первичной профсоюзной организации, созданной в органе местного самоуправления,  аппарате избирательной комиссии муниципального образования,                           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                  Республики Татарстан;</w:t>
      </w: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</w:rPr>
        <w:t>) представление на безвозмездной основе интересов                     муниципального образования в Ассоциации «Совет муниципальных образований Республики Татарстан», иных объединен</w:t>
      </w:r>
      <w:r w:rsidR="00E626C3">
        <w:rPr>
          <w:rFonts w:ascii="Times New Roman" w:eastAsia="Calibri" w:hAnsi="Times New Roman"/>
          <w:sz w:val="28"/>
          <w:szCs w:val="28"/>
        </w:rPr>
        <w:t xml:space="preserve">иях муниципальных образований, </w:t>
      </w:r>
      <w:r>
        <w:rPr>
          <w:rFonts w:ascii="Times New Roman" w:eastAsia="Calibri" w:hAnsi="Times New Roman"/>
          <w:sz w:val="28"/>
          <w:szCs w:val="28"/>
        </w:rPr>
        <w:t>а также в их органах управления;</w:t>
      </w: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                   в муниципальной собственности акциями (долями в уставном капитале);</w:t>
      </w: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/>
          <w:sz w:val="28"/>
          <w:szCs w:val="28"/>
        </w:rPr>
        <w:t>д</w:t>
      </w:r>
      <w:proofErr w:type="gramEnd"/>
      <w:r>
        <w:rPr>
          <w:rFonts w:ascii="Times New Roman" w:eastAsia="Calibri" w:hAnsi="Times New Roman"/>
          <w:sz w:val="28"/>
          <w:szCs w:val="28"/>
        </w:rPr>
        <w:t>) иные случаи, предусмотренные федеральными законами;»;</w:t>
      </w:r>
    </w:p>
    <w:p w:rsidR="00015A42" w:rsidRP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10"/>
          <w:szCs w:val="10"/>
        </w:rPr>
      </w:pP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ab/>
        <w:t xml:space="preserve">- </w:t>
      </w:r>
      <w:r>
        <w:rPr>
          <w:rFonts w:ascii="Times New Roman" w:eastAsia="Calibri" w:hAnsi="Times New Roman"/>
          <w:i/>
          <w:sz w:val="28"/>
          <w:szCs w:val="28"/>
        </w:rPr>
        <w:tab/>
        <w:t>часть 1 статьи 14 дополнить пунктом 2.1                                       следующего содержания:</w:t>
      </w:r>
    </w:p>
    <w:p w:rsid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«2.1) заниматься предпринимательской деятельностью лично                                    или через доверенных лиц;»;</w:t>
      </w:r>
    </w:p>
    <w:p w:rsidR="00015A42" w:rsidRPr="00015A42" w:rsidRDefault="00015A42" w:rsidP="00015A42">
      <w:pPr>
        <w:tabs>
          <w:tab w:val="num" w:pos="709"/>
        </w:tabs>
        <w:spacing w:after="0" w:line="240" w:lineRule="auto"/>
        <w:ind w:left="851"/>
        <w:jc w:val="both"/>
        <w:rPr>
          <w:rFonts w:ascii="Times New Roman" w:eastAsia="Calibri" w:hAnsi="Times New Roman"/>
          <w:sz w:val="10"/>
          <w:szCs w:val="10"/>
        </w:rPr>
      </w:pP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-</w:t>
      </w:r>
      <w:r>
        <w:rPr>
          <w:rFonts w:ascii="Times New Roman" w:eastAsia="Calibri" w:hAnsi="Times New Roman"/>
          <w:i/>
          <w:sz w:val="28"/>
          <w:szCs w:val="28"/>
        </w:rPr>
        <w:tab/>
        <w:t>часть 3 статьи 18 изложить в следующей редакции:</w:t>
      </w: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«3. Порядок применения и снятия дисциплинарных взысканий                  определяется трудовым законодательством, </w:t>
      </w:r>
      <w:r>
        <w:rPr>
          <w:rFonts w:ascii="Times New Roman" w:hAnsi="Times New Roman"/>
          <w:sz w:val="28"/>
          <w:szCs w:val="28"/>
        </w:rPr>
        <w:t xml:space="preserve">за исключением случаев, предусмотренных Федеральным законом от 02.03.2007 №25-ФЗ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О муниципальной службе в Российской Федерации».»;</w:t>
      </w:r>
    </w:p>
    <w:p w:rsidR="00015A42" w:rsidRDefault="00015A42" w:rsidP="00E626C3">
      <w:pPr>
        <w:spacing w:after="0" w:line="240" w:lineRule="auto"/>
        <w:ind w:left="851" w:firstLine="56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>
        <w:rPr>
          <w:rFonts w:ascii="Times New Roman" w:hAnsi="Times New Roman"/>
          <w:i/>
          <w:sz w:val="28"/>
          <w:szCs w:val="28"/>
        </w:rPr>
        <w:lastRenderedPageBreak/>
        <w:t>-</w:t>
      </w:r>
      <w:r>
        <w:rPr>
          <w:rFonts w:ascii="Times New Roman" w:hAnsi="Times New Roman"/>
          <w:i/>
          <w:sz w:val="28"/>
          <w:szCs w:val="28"/>
        </w:rPr>
        <w:tab/>
        <w:t>часть 9 статьи 19 изложить в следующей редакции:</w:t>
      </w: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«9. Взыскания, предусмотренные </w:t>
      </w:r>
      <w:hyperlink r:id="rId7" w:history="1">
        <w:r w:rsidRPr="00015A42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</w:rPr>
          <w:t>статьями 1</w:t>
        </w:r>
      </w:hyperlink>
      <w:r>
        <w:rPr>
          <w:rFonts w:ascii="Times New Roman" w:eastAsia="Calibri" w:hAnsi="Times New Roman"/>
          <w:sz w:val="28"/>
          <w:szCs w:val="28"/>
        </w:rPr>
        <w:t xml:space="preserve">5, 16 и 18                                  настоящего Положения, применяются </w:t>
      </w:r>
      <w:r>
        <w:rPr>
          <w:rFonts w:ascii="Times New Roman" w:hAnsi="Times New Roman"/>
          <w:sz w:val="28"/>
          <w:szCs w:val="28"/>
        </w:rPr>
        <w:t>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                           и не позднее трех лет со дня совершения им коррупционного правонарушения.                 В указанные сроки не включается время производства по уголовному делу.»;</w:t>
      </w:r>
    </w:p>
    <w:p w:rsidR="00015A42" w:rsidRPr="00015A42" w:rsidRDefault="00015A42" w:rsidP="00015A42">
      <w:pPr>
        <w:spacing w:after="0" w:line="240" w:lineRule="auto"/>
        <w:ind w:left="851" w:firstLine="565"/>
        <w:jc w:val="both"/>
        <w:rPr>
          <w:rFonts w:ascii="Times New Roman" w:hAnsi="Times New Roman"/>
          <w:sz w:val="10"/>
          <w:szCs w:val="10"/>
        </w:rPr>
      </w:pP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i/>
          <w:sz w:val="28"/>
          <w:szCs w:val="28"/>
        </w:rPr>
        <w:t>-</w:t>
      </w:r>
      <w:r>
        <w:rPr>
          <w:rFonts w:ascii="Times New Roman" w:eastAsia="Calibri" w:hAnsi="Times New Roman"/>
          <w:i/>
          <w:sz w:val="28"/>
          <w:szCs w:val="28"/>
        </w:rPr>
        <w:tab/>
        <w:t>пункт 4 части 3 статьи 25 изложить в следующей редакции:</w:t>
      </w: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«4) трудовую книжку и (или) сведения о трудовой деятельности                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  (</w:t>
      </w:r>
      <w:proofErr w:type="gramEnd"/>
      <w:r>
        <w:rPr>
          <w:rFonts w:ascii="Times New Roman" w:eastAsia="Calibri" w:hAnsi="Times New Roman"/>
          <w:sz w:val="28"/>
          <w:szCs w:val="28"/>
        </w:rPr>
        <w:t>статья 66.1 Трудового кодекса Российской Федерации), за исключением случаев, если трудовой договор заключается впервые;»;</w:t>
      </w:r>
    </w:p>
    <w:p w:rsidR="00015A42" w:rsidRPr="00015A42" w:rsidRDefault="00015A42" w:rsidP="00015A42">
      <w:pPr>
        <w:spacing w:after="0" w:line="240" w:lineRule="auto"/>
        <w:ind w:left="851" w:firstLine="565"/>
        <w:jc w:val="both"/>
        <w:rPr>
          <w:rFonts w:ascii="Times New Roman" w:eastAsia="Calibri" w:hAnsi="Times New Roman"/>
          <w:sz w:val="10"/>
          <w:szCs w:val="10"/>
        </w:rPr>
      </w:pP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eastAsia="Calibri" w:hAnsi="Times New Roman"/>
          <w:i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i/>
          <w:sz w:val="28"/>
          <w:szCs w:val="28"/>
        </w:rPr>
        <w:t>пункт 6 части 3 статьи 25 изложить в следующей редакции:</w:t>
      </w: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«6) </w:t>
      </w:r>
      <w:hyperlink r:id="rId8" w:history="1">
        <w:r w:rsidRPr="00015A42">
          <w:rPr>
            <w:rStyle w:val="a7"/>
            <w:rFonts w:ascii="Times New Roman" w:eastAsia="Calibri" w:hAnsi="Times New Roman"/>
            <w:color w:val="auto"/>
            <w:sz w:val="28"/>
            <w:szCs w:val="28"/>
            <w:u w:val="none"/>
          </w:rPr>
          <w:t>документ</w:t>
        </w:r>
      </w:hyperlink>
      <w:r>
        <w:rPr>
          <w:rFonts w:ascii="Times New Roman" w:eastAsia="Calibri" w:hAnsi="Times New Roman"/>
          <w:sz w:val="28"/>
          <w:szCs w:val="28"/>
        </w:rPr>
        <w:t>, подтверждающий регистрацию в системе индивидуального (персонифицированного) учета, в том числе в форме электронного документа;».</w:t>
      </w:r>
    </w:p>
    <w:p w:rsidR="00015A42" w:rsidRPr="00015A42" w:rsidRDefault="00015A42" w:rsidP="00015A42">
      <w:pPr>
        <w:spacing w:after="0" w:line="240" w:lineRule="auto"/>
        <w:ind w:left="851" w:firstLine="565"/>
        <w:jc w:val="both"/>
        <w:rPr>
          <w:rFonts w:ascii="Times New Roman" w:eastAsia="Calibri" w:hAnsi="Times New Roman"/>
          <w:sz w:val="10"/>
          <w:szCs w:val="10"/>
        </w:rPr>
      </w:pP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вступает в силу и подлежит опубликованию                                    в порядке, определённом Уставом муниципального образования                                      город Бугульма Бугульминского муниципального района                                    Республики Татарстан.</w:t>
      </w:r>
      <w:bookmarkStart w:id="0" w:name="_GoBack"/>
      <w:bookmarkEnd w:id="0"/>
    </w:p>
    <w:p w:rsidR="00015A42" w:rsidRPr="00015A42" w:rsidRDefault="00015A42" w:rsidP="00015A42">
      <w:pPr>
        <w:spacing w:after="0" w:line="240" w:lineRule="auto"/>
        <w:ind w:left="851" w:firstLine="565"/>
        <w:jc w:val="both"/>
        <w:rPr>
          <w:rFonts w:ascii="Times New Roman" w:hAnsi="Times New Roman"/>
          <w:sz w:val="10"/>
          <w:szCs w:val="10"/>
        </w:rPr>
      </w:pPr>
    </w:p>
    <w:p w:rsidR="00015A42" w:rsidRPr="00015A42" w:rsidRDefault="00015A42" w:rsidP="00015A42">
      <w:pPr>
        <w:spacing w:after="0" w:line="240" w:lineRule="auto"/>
        <w:ind w:left="851" w:firstLine="565"/>
        <w:jc w:val="both"/>
        <w:rPr>
          <w:rFonts w:ascii="Times New Roman" w:eastAsia="Times New Roman" w:hAnsi="Times New Roman"/>
          <w:sz w:val="6"/>
          <w:szCs w:val="6"/>
        </w:rPr>
      </w:pPr>
    </w:p>
    <w:p w:rsidR="00015A42" w:rsidRDefault="00015A42" w:rsidP="00015A42">
      <w:pPr>
        <w:spacing w:after="0" w:line="240" w:lineRule="auto"/>
        <w:ind w:left="851" w:firstLine="56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                                                     на заместителя мэра города Бугульмы </w:t>
      </w:r>
      <w:proofErr w:type="spellStart"/>
      <w:r>
        <w:rPr>
          <w:rFonts w:ascii="Times New Roman" w:hAnsi="Times New Roman"/>
          <w:sz w:val="28"/>
          <w:szCs w:val="28"/>
        </w:rPr>
        <w:t>И.Б.Белову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5A42" w:rsidRDefault="00015A42" w:rsidP="00015A42">
      <w:pPr>
        <w:ind w:left="851"/>
        <w:jc w:val="both"/>
        <w:rPr>
          <w:rFonts w:ascii="Times New Roman" w:hAnsi="Times New Roman"/>
          <w:sz w:val="28"/>
          <w:szCs w:val="28"/>
        </w:rPr>
      </w:pPr>
    </w:p>
    <w:p w:rsidR="00015A42" w:rsidRDefault="00015A42" w:rsidP="004E3DB5">
      <w:pPr>
        <w:jc w:val="both"/>
        <w:rPr>
          <w:rFonts w:ascii="Times New Roman" w:hAnsi="Times New Roman"/>
          <w:b/>
          <w:sz w:val="32"/>
          <w:szCs w:val="32"/>
        </w:rPr>
      </w:pPr>
    </w:p>
    <w:p w:rsidR="00015A42" w:rsidRDefault="00015A42" w:rsidP="00015A42">
      <w:pPr>
        <w:ind w:left="851"/>
        <w:jc w:val="both"/>
        <w:rPr>
          <w:rFonts w:ascii="Times New Roman" w:hAnsi="Times New Roman"/>
          <w:b/>
          <w:sz w:val="10"/>
          <w:szCs w:val="10"/>
        </w:rPr>
      </w:pPr>
    </w:p>
    <w:p w:rsidR="00015A42" w:rsidRDefault="00015A42" w:rsidP="004E3DB5">
      <w:pPr>
        <w:ind w:left="851" w:firstLine="565"/>
        <w:jc w:val="both"/>
        <w:rPr>
          <w:rFonts w:ascii="Arial" w:hAnsi="Arial"/>
        </w:rPr>
      </w:pPr>
      <w:r>
        <w:rPr>
          <w:rFonts w:ascii="Times New Roman" w:hAnsi="Times New Roman"/>
          <w:b/>
          <w:sz w:val="28"/>
          <w:szCs w:val="28"/>
        </w:rPr>
        <w:t xml:space="preserve">Мэр города Бугульмы                                   </w:t>
      </w:r>
      <w:r w:rsidR="004E3DB5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E3DB5">
        <w:rPr>
          <w:rFonts w:ascii="Times New Roman" w:hAnsi="Times New Roman"/>
          <w:b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Л.Р.Закиров</w:t>
      </w:r>
      <w:proofErr w:type="spellEnd"/>
    </w:p>
    <w:p w:rsidR="00015A42" w:rsidRDefault="00015A42" w:rsidP="00015A42">
      <w:pPr>
        <w:tabs>
          <w:tab w:val="left" w:pos="0"/>
        </w:tabs>
        <w:ind w:left="851"/>
        <w:jc w:val="both"/>
        <w:rPr>
          <w:rFonts w:ascii="Times New Roman" w:hAnsi="Times New Roman"/>
          <w:i/>
          <w:sz w:val="28"/>
          <w:szCs w:val="28"/>
        </w:rPr>
      </w:pPr>
    </w:p>
    <w:p w:rsidR="00015A42" w:rsidRDefault="00015A42" w:rsidP="00015A42">
      <w:pPr>
        <w:tabs>
          <w:tab w:val="left" w:pos="0"/>
        </w:tabs>
        <w:ind w:left="851"/>
        <w:jc w:val="both"/>
        <w:rPr>
          <w:rFonts w:ascii="Times New Roman" w:hAnsi="Times New Roman"/>
          <w:i/>
          <w:sz w:val="10"/>
          <w:szCs w:val="10"/>
        </w:rPr>
      </w:pPr>
    </w:p>
    <w:p w:rsidR="00015A42" w:rsidRDefault="00015A42" w:rsidP="00015A42">
      <w:pPr>
        <w:ind w:left="851"/>
        <w:jc w:val="both"/>
        <w:rPr>
          <w:rFonts w:ascii="Arial" w:hAnsi="Arial"/>
        </w:rPr>
      </w:pPr>
    </w:p>
    <w:p w:rsidR="00015A42" w:rsidRDefault="00015A42" w:rsidP="00015A42">
      <w:pPr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5A42" w:rsidRDefault="00015A42" w:rsidP="00015A42">
      <w:pPr>
        <w:ind w:left="851"/>
        <w:jc w:val="both"/>
      </w:pPr>
    </w:p>
    <w:sectPr w:rsidR="00015A42" w:rsidSect="0054142B">
      <w:headerReference w:type="firs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97C" w:rsidRDefault="00E9797C" w:rsidP="0054142B">
      <w:pPr>
        <w:spacing w:after="0" w:line="240" w:lineRule="auto"/>
      </w:pPr>
      <w:r>
        <w:separator/>
      </w:r>
    </w:p>
  </w:endnote>
  <w:endnote w:type="continuationSeparator" w:id="0">
    <w:p w:rsidR="00E9797C" w:rsidRDefault="00E9797C" w:rsidP="0054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97C" w:rsidRDefault="00E9797C" w:rsidP="0054142B">
      <w:pPr>
        <w:spacing w:after="0" w:line="240" w:lineRule="auto"/>
      </w:pPr>
      <w:r>
        <w:separator/>
      </w:r>
    </w:p>
  </w:footnote>
  <w:footnote w:type="continuationSeparator" w:id="0">
    <w:p w:rsidR="00E9797C" w:rsidRDefault="00E9797C" w:rsidP="0054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42B" w:rsidRDefault="008A164B">
    <w:pPr>
      <w:pStyle w:val="a3"/>
    </w:pPr>
    <w:r w:rsidRPr="008A164B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36683" cy="2743200"/>
          <wp:effectExtent l="0" t="0" r="7620" b="0"/>
          <wp:wrapNone/>
          <wp:docPr id="1" name="Рисунок 1" descr="C:\Users\Лола Фаиг кызы Рагим\Desktop\Public\! БЛАНКИ\Сессия\БЛАНКИ нью_по_Бугульминскому_городскому_Совету\РЕШЕНИЕ СЕССИИ III СОЗЫ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ола Фаиг кызы Рагим\Desktop\Public\! БЛАНКИ\Сессия\БЛАНКИ нью_по_Бугульминскому_городскому_Совету\РЕШЕНИЕ СЕССИИ III СОЗЫВ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683" cy="274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76EE"/>
    <w:multiLevelType w:val="multilevel"/>
    <w:tmpl w:val="E60634F6"/>
    <w:lvl w:ilvl="0">
      <w:start w:val="1"/>
      <w:numFmt w:val="decimal"/>
      <w:lvlText w:val="%1."/>
      <w:lvlJc w:val="left"/>
      <w:pPr>
        <w:tabs>
          <w:tab w:val="num" w:pos="2192"/>
        </w:tabs>
        <w:ind w:left="2192" w:hanging="360"/>
      </w:pPr>
    </w:lvl>
    <w:lvl w:ilvl="1">
      <w:start w:val="1"/>
      <w:numFmt w:val="decimal"/>
      <w:isLgl/>
      <w:lvlText w:val="%1.%2"/>
      <w:lvlJc w:val="left"/>
      <w:pPr>
        <w:ind w:left="2432" w:hanging="450"/>
      </w:pPr>
    </w:lvl>
    <w:lvl w:ilvl="2">
      <w:start w:val="1"/>
      <w:numFmt w:val="decimal"/>
      <w:isLgl/>
      <w:lvlText w:val="%1.%2.%3"/>
      <w:lvlJc w:val="left"/>
      <w:pPr>
        <w:ind w:left="2552" w:hanging="720"/>
      </w:pPr>
    </w:lvl>
    <w:lvl w:ilvl="3">
      <w:start w:val="1"/>
      <w:numFmt w:val="decimal"/>
      <w:isLgl/>
      <w:lvlText w:val="%1.%2.%3.%4"/>
      <w:lvlJc w:val="left"/>
      <w:pPr>
        <w:ind w:left="2912" w:hanging="1080"/>
      </w:pPr>
    </w:lvl>
    <w:lvl w:ilvl="4">
      <w:start w:val="1"/>
      <w:numFmt w:val="decimal"/>
      <w:isLgl/>
      <w:lvlText w:val="%1.%2.%3.%4.%5"/>
      <w:lvlJc w:val="left"/>
      <w:pPr>
        <w:ind w:left="2912" w:hanging="1080"/>
      </w:pPr>
    </w:lvl>
    <w:lvl w:ilvl="5">
      <w:start w:val="1"/>
      <w:numFmt w:val="decimal"/>
      <w:isLgl/>
      <w:lvlText w:val="%1.%2.%3.%4.%5.%6"/>
      <w:lvlJc w:val="left"/>
      <w:pPr>
        <w:ind w:left="3272" w:hanging="1440"/>
      </w:pPr>
    </w:lvl>
    <w:lvl w:ilvl="6">
      <w:start w:val="1"/>
      <w:numFmt w:val="decimal"/>
      <w:isLgl/>
      <w:lvlText w:val="%1.%2.%3.%4.%5.%6.%7"/>
      <w:lvlJc w:val="left"/>
      <w:pPr>
        <w:ind w:left="3272" w:hanging="1440"/>
      </w:pPr>
    </w:lvl>
    <w:lvl w:ilvl="7">
      <w:start w:val="1"/>
      <w:numFmt w:val="decimal"/>
      <w:isLgl/>
      <w:lvlText w:val="%1.%2.%3.%4.%5.%6.%7.%8"/>
      <w:lvlJc w:val="left"/>
      <w:pPr>
        <w:ind w:left="3632" w:hanging="1800"/>
      </w:pPr>
    </w:lvl>
    <w:lvl w:ilvl="8">
      <w:start w:val="1"/>
      <w:numFmt w:val="decimal"/>
      <w:isLgl/>
      <w:lvlText w:val="%1.%2.%3.%4.%5.%6.%7.%8.%9"/>
      <w:lvlJc w:val="left"/>
      <w:pPr>
        <w:ind w:left="399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2B"/>
    <w:rsid w:val="00015A42"/>
    <w:rsid w:val="00037B66"/>
    <w:rsid w:val="003B310B"/>
    <w:rsid w:val="004C6D2E"/>
    <w:rsid w:val="004E3DB5"/>
    <w:rsid w:val="004F6271"/>
    <w:rsid w:val="0054142B"/>
    <w:rsid w:val="008A164B"/>
    <w:rsid w:val="009D5CD4"/>
    <w:rsid w:val="00B40CAF"/>
    <w:rsid w:val="00D8778A"/>
    <w:rsid w:val="00E626C3"/>
    <w:rsid w:val="00E9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4C1AAB-4E3E-4FA3-ADA7-6FF5B3BD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nhideWhenUsed/>
    <w:qFormat/>
    <w:rsid w:val="00015A42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42B"/>
  </w:style>
  <w:style w:type="paragraph" w:styleId="a5">
    <w:name w:val="footer"/>
    <w:basedOn w:val="a"/>
    <w:link w:val="a6"/>
    <w:uiPriority w:val="99"/>
    <w:unhideWhenUsed/>
    <w:rsid w:val="0054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42B"/>
  </w:style>
  <w:style w:type="character" w:customStyle="1" w:styleId="50">
    <w:name w:val="Заголовок 5 Знак"/>
    <w:basedOn w:val="a0"/>
    <w:link w:val="5"/>
    <w:rsid w:val="00015A4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015A4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62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0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AC356F39C1E28F12FBB9C6A074424648A4D8B962A4C8ACB3EB0FBD664255A4D71727C04076CB1B1A1ED6166E34EBA2550DBEEC5B084773H8f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2EACAC11133FA4E1ADF6BECD58204B740541EED61C78C8C94B2075A0C4C545DC0C572C422DF83720CC3aFi9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 Фаиг кызы Рагим</dc:creator>
  <cp:keywords/>
  <dc:description/>
  <cp:lastModifiedBy>Admin</cp:lastModifiedBy>
  <cp:revision>6</cp:revision>
  <dcterms:created xsi:type="dcterms:W3CDTF">2020-02-14T06:47:00Z</dcterms:created>
  <dcterms:modified xsi:type="dcterms:W3CDTF">2020-02-29T05:42:00Z</dcterms:modified>
</cp:coreProperties>
</file>